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DC" w:rsidRPr="000E35DC" w:rsidRDefault="000E35DC" w:rsidP="000E35DC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0E35D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послесреднего</w:t>
      </w:r>
      <w:proofErr w:type="spellEnd"/>
      <w:r w:rsidRPr="000E35D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 и высшего образования</w:t>
      </w:r>
    </w:p>
    <w:p w:rsidR="000E35DC" w:rsidRPr="000E35DC" w:rsidRDefault="000E35DC" w:rsidP="000E35DC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0E35DC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15 декабря 2020 года № Қ</w:t>
      </w:r>
      <w:proofErr w:type="gramStart"/>
      <w:r w:rsidRPr="000E35DC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0E35DC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ДСМ-264/2020. Зарегистрирован в Министерстве юстиции Республики Казахстан 20 декабря 2020 года № 21820.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1606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11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86 Кодекса Республики Казахстан от 7 июля 2020 года "О здоровье народа и системе здравоохранения" ПРИКАЗЫВАЮ: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 </w:t>
      </w:r>
      <w:hyperlink r:id="rId7" w:anchor="z15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объем и периодичность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согласно приложению 1 к настоящему приказу.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утратившими силу некоторые приказы Министерства здравоохранения Республики Казахстан согласно </w:t>
      </w:r>
      <w:hyperlink r:id="rId8" w:anchor="z97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Контроль за исполнением настоящего приказа возложить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0E35DC" w:rsidRPr="000E35DC" w:rsidTr="000E35D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3"/>
            <w:bookmarkEnd w:id="1"/>
            <w:r w:rsidRPr="000E3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0E3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:rsidR="000E35DC" w:rsidRPr="000E35DC" w:rsidRDefault="000E35DC" w:rsidP="000E35D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35DC" w:rsidRPr="000E35DC" w:rsidTr="000E35D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4"/>
            <w:bookmarkEnd w:id="2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приказу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 здравоохранения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15 декабря 2020 года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ДСМ-264/2020</w:t>
            </w:r>
          </w:p>
        </w:tc>
      </w:tr>
    </w:tbl>
    <w:p w:rsidR="000E35DC" w:rsidRPr="000E35DC" w:rsidRDefault="000E35DC" w:rsidP="000E35D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 xml:space="preserve">Правила, объем и периодичность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и высшего образования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Приложение 1 – в редакции приказа Министра здравоохранения РК от 05.07.2022 </w:t>
      </w:r>
      <w:hyperlink r:id="rId9" w:anchor="z9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ДСМ- 65</w:t>
        </w:r>
      </w:hyperlink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Глава 1. Общие положения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Настоящие правила, объем и периодичность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(далее – Правила) разработаны в соответствии с </w:t>
      </w:r>
      <w:hyperlink r:id="rId10" w:anchor="z1606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11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86 Кодекса Республики Казахстан "О здоровье народа и системе здравоохранения" и определяют порядок, объем и периодичность проведения профилактических медицинских осмотров целевых групп населения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Целевой группой населения являются дети в возрасте от 1 месяца до достижения возраста 18 лет.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Профилактические медицинские осмотры с последующим динамическим наблюдением и оздоровлением осуществляют организации здравоохранения, оказывающие амбулаторно-поликлиническую помощь (далее – организации АПП) независимо от форм собственности, в том числе с использованием передвижных медицинских комплексов и медицинских поездов.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Организации АПП: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формируют целевые группы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образования, подлежащих профилактическим медицинским осмотрам, из числа, прикрепленного к медицинской организации населения;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обеспечивают преемственность с профильными медицинскими организациями для проведения данных осмотров;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информируют население о необходимости прохождения профилактических медицинских осмотров;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4) вносят данные о прохождении профилактических медицинских осмотров детей дошкольного, школьного возрастов, в медицинские информационные системы (далее – МИС);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проводят ежемесячный анализ проведенных профилактических медицинских осмотров с предоставлением информации в местные органы государственного управления здравоохранением до 5 числа месяца, следующего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отчетным.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5. По результатам проведенного профилактического медицинского осмотра детей дошкольного, школьного возрастов, направленных на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дообследование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средний медицинский работник либо ответственное лицо организации АПП в МИС формирует направление на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дообследование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которое передается посредством информационного взаимодействия.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Глава 2. Порядок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6. Профилактические медицинские осмотры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проводятся специалистами территориальной организации АПП с выездом на территории организаций образования.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Профилактические медицинские осмотры детей дошкольного возраста, не посещающих дошкольные организации, проводятся в организации АПП по месту прикрепления.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8. Проведение профилактических медицинских осмотров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включает: подготовительный этап, профилактический медицинский осмотр и заключительный этап.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Подготовительный этап состоит из формирования целевых групп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и информационного сопровождения. Подготовительный этап осуществляется средним медицинским персоналом организации АПП: медицинского пункта, фельдшерско-акушерского пункта, врачебной амбулатории, районной, городской поликлиники, средним медицинским персоналом организации образования (при его наличии), в том числе дошкольной организации и включает: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ежегодное формирование и составление списка целевых групп, подлежащих профилактическим медицинским осмотрам в предстоящем году, до не позднее сентября предыдущего отчетному году, с последующей ежемесячной коррекцией целевых групп;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оповещение законных представителей детей о необходимости и условиях прохождения профилактических медицинских осмотров;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составление графика выездов специалистов территориальной организации АПП на территории организаций образования (при его наличии), в том числе дошкольных организаций для проведения профилактического медицинского осмотра детей дошкольного возраста (посещающих детские дошкольные организации), школьного возраста,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образования. 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Профилактический медицинский осмотр включает: доврачебный, квалифицированный и специализированный этапы.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Доврачебный этап проводится средним медицинским персоналом медицинского пункта, фельдшерско-акушерского пункта, врачебной амбулатории, районной, городской поликлиники, средним медицинским персоналом организации образования (при его наличии), в том числе дошкольных организаций и включает: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проведение антропометрических измерений (вес, рост, объем головы и грудной клетки у детей до трех лет), вычисление индекса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Кетле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оценку психофизического развития по шкалам нервно-психического развития детей;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измерение артериального давления (у детей 7 лет и старше);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проведение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плантографии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ее оценку (у детей 5 лет и старше);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определение остроты зрения;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исследование остроты слуха. У детей 3 лет и старше исследование проводится с помощью шепотной речи на оба уха поочередно, в тихом помещении на расстоянии не менее 5 метров между средним медицинским работником и ребенком;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электрокардиографическое исследование (в 12 отведениях) у детей в возрасте 14 и 17 лет включительно;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общий анализ крови и мочи у детей в возрасте до 1 года, в 2 года, в 5 лет, 14 и 17 лет включительно.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12. Квалифицированный этап проводится врачом педиатром, терапевтом (для детей в возрасте от 15 до 17 лет включительно) либо врачом общей </w:t>
      </w: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практики и включает: оценку состояния здоровья ребенка, психофизического, полового развития, выявление признаков жестокого обращения с учетом данных доврачебного обследования.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ходе квалифицированного этапа проводятся: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общий осмотр;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осмотр кожных покровов и волосистой части головы;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осмотр видимых слизистых оболочек: конъюнктивы глаз, полости рта, зева. Обращается внимание на состояние зубов, прикус, высоту стояния твердого неба, величину и вид небных миндалин, голосовую функцию (звучность голоса);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осмотр и пальпация области щитовидной железы;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осмотр грудной клетки и позвоночного столба, конечностей;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пальпация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периферических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лимфоузлов: подчелюстных, паховых, подмышечных;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исследование органов кровообращения (осмотр, аускультация сердца), определение частоты, наполнения, ритма пульса. При аускультации отмечают звучность и чистоту тонов. При выявлении сердечных шумов проводят исследования в различных положениях (стоя, лежа) и функциональные пробы с дозированной физической нагрузкой;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исследование органов дыхания (аускультация легких, определение частоты дыхания);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9) исследование органов пищеварения (пальпация органов брюшной полости, области правого подреберья, печени,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эпигастральной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области, селезенки, правой и левой подвздошной областей, надлобковой области). Обращается внимание на состояние слизистых,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обложенность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языка, десен, верхнего неба, зубов.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Выявляются симптомы хронической интоксикации (бледность кожных покровов, орбитальные тени);</w:t>
      </w:r>
      <w:proofErr w:type="gramEnd"/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оценка результатов лабораторного исследования;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11) осмотр половых органов. При осмотре девочек старше 10 лет особое внимание уделяют гинекологическому анамнезу, жалобам, нарушению менструальной функции. При осмотре детей, старше 12 лет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уделяют внимание на тип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оволосенения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(по мужскому или по женскому типу). При наличии показаний девочки направляются к детскому гинекологу;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12) оценка нервно-психического развития (далее – НПР) с рождения до 17 лет включительно с определением варианта группы развития: 1 – нормальный уровень НПР; 2 – незначительные отклонения в НПР; 3 – выраженные отклонения в НПР.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У детей в возрасте от 4 до 6 лет оцениваются мышление и речь, моторное развитие, внимание и память, социальные контакты.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У детей в возрасте от 7 до 8 лет оцениваются психомоторная сфера и поведение, интеллектуальное развитие, эмоционально-вегетативная сфера.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У детей в возрасте от 9 до 10 лет дополнительно оценивается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сформированность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абстрактно-логических операций, логических суждений.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У детей в возрасте от 11 до 17 лет определяются эмоционально-вегетативная сфера, </w:t>
      </w:r>
      <w:proofErr w:type="spellStart"/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сомато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-вегетативные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проявления, вегето-диэнцефальные проявления.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13) оценка полового развития методом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пубертограмм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выдается заключение (норма, опережение, отставание);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14) выявление признаков жестокого обращения путем выявления травм и их последствий, признаков побоев (линейные кровоподтеки после ударов палкой или прутом, кровоподтеки в виде петли после ударов ремнем, веревкой, следы связывания, стягивания веревкой или ремнем, следы прижиганий сигаретой, кровоизлияния в сетчатку глаз,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субдуральные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гематомы).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При выявлении патологических изменений направляет на дополнительное обследование к профильному специалисту.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Специализированный этап проводится врачами профильных специальностей и включает осмотр с заполнением результатов в МИС: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хирург либо травматолог-ортопед у детей раннего возраста обращает внимание на наличие расширения пупочного, паховых колец, грыжевых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выпячиваний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области белой линии живота, крипторхизма, выпадения прямой кишки, деформацию конечностей, грудной клетки. У детей дошкольного и школьного возраста определяется наличие деформации позвоночника, нарушений осанки, функций крупных и мелких суставов. Проводится осмотр состояния сводов стоп, оценка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плантограммы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оценка походки. У мальчиков определяется опущение яичек;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уролог либо хирург исключает патологию мочеполовой системы;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отоларинголог проводит переднюю риноскопию и проверку дыхательной функции носа, заднюю риноскопию, фарингоскопию, пальпацию шейных лимфоузлов (подчелюстных, передних и задних шейных, заушных), отоскопию, исследование слуха;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4) невропатолог проводит общий осмотр (определение наличия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дермографических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черт, сосудистого рисунка), исследование состояния черепно-мозговых нервов, двигательных функций; сухожильных,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периостальных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кожных рефлексов; оценку вегетативной регуляции. При наличии медицинских показаний,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5) стоматолог проводит комплексное обследование ребенка с оценкой состояния прикуса, пародонта, индексов гигиены, интенсивности поражения зубов кариесом (КПУ - сумма кариозных пломбированных и удаленных зубов у одного ребенка), степени активности кариеса, гингивита, (папиллярно-маргинально-альвеолярный индекс для оценки воспалительного процесса десен), составляет план диспансеризации, реабилитации и профилактики;</w:t>
      </w:r>
      <w:proofErr w:type="gramEnd"/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офтальмолог проводит определение остроты зрения, внешний осмотр органа зрения; осмотр с боковым освещением и в проходящем свете, офтальмоскопию. При наличии медицинских показаний, дети в возрасте 14 и 17 лет проходят дополнительно измерение глазного давления;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эндокринолог проводит осмотр для исключения гинекомастии, задержки или преждевременного полового развития, задержки роста, ожирения, увеличения щитовидной железы, сахарного диабета, крипторхизма.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По окончании профилактического медицинского осмотра врачом педиатром, врачом терапевтом (для детей в возрасте от 15 до 17 лет включительно) либо врачом общей практики, с учетом заключения профильных специалистов и лабораторно-диагностических исследований, проводится комплексная оценка состояния здоровья детей с определением следующих "групп здоровья":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 группа – здоровые дети;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 группа – здоровые дети, имеющие функциональные отклонения, а также сниженную сопротивляемость к острым и хроническим заболеваниям, с наличием факторов риска;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 группа – дети, больные хроническими заболеваниями в состоянии компенсации, с сохраненными функциональными возможностями организма;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 группа – дети с хроническими заболеваниями в состоянии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субкомпенсации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со сниженными функциональными возможностями;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 группа – дети с хроническими заболеваниями в состоянии декомпенсации, со значительно сниженными функциональными возможностями организма.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16. Дети, относящиеся к 3, 4, 5группам здоровья, подлежат динамическому наблюдению и оздоровлению у специалистов организаций АПП или специалистов соответствующего профиля.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По завершении профилактического медицинского осмотра врачом педиатром, терапевтом либо врачом общей практики проводится комплексная оценка здоровья, оформляются эпикриз и заключение с указанием группы здоровья, оценкой физического и нервно-психического развития. В заключени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предоставляются рекомендации по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дообследованию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наблюдению, соблюдению санитарно-гигиенических правил, режиму, физическому воспитанию и закаливанию, проведению профилактических прививок, профилактике пограничных состояний и заболеваний, по физкультурной группе (основная или специальная группа), и для мальчиков с 15 лет – заключение и рекомендации для военкомата.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На заключительном этапе врач организации АПП либо ответственное лицо организации АПП вносит результаты осмотра в МИС.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Результаты профилактического медицинского осмотра детей доводятся до сведения их законных представителей, с подписью об ознакомлении.</w:t>
      </w:r>
    </w:p>
    <w:p w:rsidR="000E35DC" w:rsidRPr="000E35DC" w:rsidRDefault="000E35DC" w:rsidP="000E35D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Глава 3. Объем и периодичность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20. Профилактические медицинские осмотры детей дошкольного, школьного возрастов, осуществляются в соответствии с объемом и периодичностью проведения профилактических медицинских осмотров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высшего образования согласно </w:t>
      </w:r>
      <w:hyperlink r:id="rId11" w:anchor="z177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35DC" w:rsidRPr="000E35DC" w:rsidTr="000E35D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77"/>
            <w:bookmarkEnd w:id="3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правилам, объему и периодичности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проведения профилактических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медицинских осмотров целевых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групп населения, включая детей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дошкольного, школьного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возрастов, а также учащихся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организаций технического и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профессионального, </w:t>
            </w:r>
            <w:proofErr w:type="spellStart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высшего образования</w:t>
            </w:r>
          </w:p>
        </w:tc>
      </w:tr>
    </w:tbl>
    <w:p w:rsidR="000E35DC" w:rsidRPr="000E35DC" w:rsidRDefault="000E35DC" w:rsidP="000E35D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Объем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>послесреднего</w:t>
      </w:r>
      <w:proofErr w:type="spellEnd"/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и высшего образования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lastRenderedPageBreak/>
        <w:t xml:space="preserve">      Сноска. Приложение - в редакции приказа </w:t>
      </w:r>
      <w:proofErr w:type="spellStart"/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и.о</w:t>
      </w:r>
      <w:proofErr w:type="spellEnd"/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. Министра здравоохранения РК от 30.11.2022 </w:t>
      </w:r>
      <w:hyperlink r:id="rId12" w:anchor="z52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ДСМ-146</w:t>
        </w:r>
      </w:hyperlink>
      <w:r w:rsidRPr="000E35DC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8668"/>
        <w:gridCol w:w="2358"/>
        <w:gridCol w:w="1958"/>
      </w:tblGrid>
      <w:tr w:rsidR="000E35DC" w:rsidRPr="000E35DC" w:rsidTr="000E35D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профилактических медицинских осмотров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пакета услуг</w:t>
            </w:r>
          </w:p>
        </w:tc>
      </w:tr>
      <w:tr w:rsidR="000E35DC" w:rsidRPr="000E35DC" w:rsidTr="000E35D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 месяц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2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3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4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5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6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дети в возрасте 7 </w:t>
            </w: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8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9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10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11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12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крови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мочи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с 1 до 2 лет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 года и 3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 года и 6 месяцев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1 года и 9 месяцев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2 лет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с 2 до 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2 лет 3 месяцев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2 лет 6 месяцев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2 лет 9 месяцев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крови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мочи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3 до 4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4 до 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5 до 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крови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мочи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6 до 7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7 до 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8 до 9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9 до 10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10 до 11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Эндокринолог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11 до 12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12 до 13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Эндокринолог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13 до 14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14 до 15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Электрокардиографическое исследование (в 12 отведениях)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Электроэнцефалография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крови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мочи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15 до 16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Эндокринолог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Уролог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16 до 17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Уролог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крови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Общий анализ мочи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Сестра медицинская либо фельдшер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 в возрасте от 17 до 18 лет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Электрокардиографическое исследование (в 12 отведениях)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Невропатолог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Электроэнцефалография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Эндокринолог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Консультация: Уролог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0E35DC" w:rsidRPr="000E35DC" w:rsidTr="000E35D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E35DC" w:rsidRPr="000E35DC" w:rsidRDefault="000E35DC" w:rsidP="000E35D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0E35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ГОБМП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0E35DC" w:rsidRPr="000E35DC" w:rsidRDefault="000E35DC" w:rsidP="000E35D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35DC" w:rsidRPr="000E35DC" w:rsidTr="000E35D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5DC" w:rsidRPr="000E35DC" w:rsidRDefault="000E35DC" w:rsidP="000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z97"/>
            <w:bookmarkStart w:id="5" w:name="z16"/>
            <w:bookmarkEnd w:id="4"/>
            <w:bookmarkEnd w:id="5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 к приказу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 здравоохранения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15 декабря 2020 года</w:t>
            </w:r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E3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ДСМ-264/2020</w:t>
            </w:r>
          </w:p>
        </w:tc>
      </w:tr>
    </w:tbl>
    <w:p w:rsidR="000E35DC" w:rsidRPr="000E35DC" w:rsidRDefault="000E35DC" w:rsidP="000E35D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0E35DC">
        <w:rPr>
          <w:rFonts w:ascii="Courier New" w:eastAsia="Times New Roman" w:hAnsi="Courier New" w:cs="Courier New"/>
          <w:color w:val="1E1E1E"/>
          <w:sz w:val="32"/>
          <w:szCs w:val="32"/>
        </w:rPr>
        <w:t>Перечень некоторых приказов Министерства здравоохранения Республики Казахстан, признанных утратившими силу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 </w:t>
      </w:r>
      <w:hyperlink r:id="rId13" w:anchor="z1" w:history="1">
        <w:proofErr w:type="gramStart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26 ноября 2009 года за № 5918, опубликованный в Собрании актов центральных исполнительных и иных центральных государственных органов Республики Казахстан № 3, 2010 года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 </w:t>
      </w:r>
      <w:hyperlink r:id="rId14" w:anchor="z1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16 марта 2011 года № 145 "О внесении изменений в приказ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 в Реестре государственной регистрации нормативных правовых актов за № 6902, опубликованный 6 августа 2011 года в газете "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Казахстанская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правда" за № 247-249 (26668-266670)).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 </w:t>
      </w:r>
      <w:hyperlink r:id="rId15" w:anchor="z1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26 декабря 2012 года № 887 "О внесении изменений в приказ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 в Реестре государственной регистрации нормативных правовых актов за № 8283, опубликованный 29 мая 2013 года в газете "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Казахстанская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правда" за №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181-182 (27455-27456)).</w:t>
      </w:r>
      <w:proofErr w:type="gramEnd"/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 </w:t>
      </w:r>
      <w:hyperlink r:id="rId16" w:anchor="z1" w:history="1">
        <w:proofErr w:type="gramStart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Министра здравоохранения и социального развития Республики Казахстан от 29 декабря 2014 года № 361 "О внесении изменений в приказ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 в Реестре государственной регистрации нормативных правовых актов за № 10199, </w:t>
      </w: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опубликованный 26 октября 2015 года в Информационно-правовой системе "</w:t>
      </w:r>
      <w:proofErr w:type="spell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Әд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ілет</w:t>
      </w:r>
      <w:proofErr w:type="spell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").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 </w:t>
      </w:r>
      <w:hyperlink r:id="rId17" w:anchor="z3" w:history="1">
        <w:proofErr w:type="gramStart"/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25 декабря 2017 года № 995 "О внесении изменений и дополнения в приказ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 в Реестре государственной регистрации нормативных правовых актов за № 16223, опубликованный 22 января 2018 года в Эталонном контрольном банке нормативных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правовых актов Республики Казахстан в электронном виде).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 </w:t>
      </w:r>
      <w:hyperlink r:id="rId18" w:anchor="z0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3 октября 2019 года № Қ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ДСМ-133 "О внесении изменений в приказ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за № 19441, опубликованный 7 октября 2019 года в Эталонном контрольном банке нормативных правовых актов Республики Казахстан в электронном виде).</w:t>
      </w:r>
    </w:p>
    <w:p w:rsidR="000E35DC" w:rsidRPr="000E35DC" w:rsidRDefault="000E35DC" w:rsidP="000E35D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 </w:t>
      </w:r>
      <w:hyperlink r:id="rId19" w:anchor="z0" w:history="1">
        <w:r w:rsidRPr="000E35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 апреля 2020 года № Қ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ДСМ-22/2020 "О внесении изменений в приказ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за № 20294, опубликованный 9 апреля </w:t>
      </w:r>
      <w:proofErr w:type="gramStart"/>
      <w:r w:rsidRPr="000E35D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2020 года в Эталонном контрольном банке нормативных правовых актов Республики Казахстан в электронном виде).</w:t>
      </w:r>
      <w:proofErr w:type="gramEnd"/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721"/>
    <w:multiLevelType w:val="multilevel"/>
    <w:tmpl w:val="E19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DC"/>
    <w:rsid w:val="000E35DC"/>
    <w:rsid w:val="001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820" TargetMode="External"/><Relationship Id="rId13" Type="http://schemas.openxmlformats.org/officeDocument/2006/relationships/hyperlink" Target="https://adilet.zan.kz/rus/docs/V090005918_" TargetMode="External"/><Relationship Id="rId18" Type="http://schemas.openxmlformats.org/officeDocument/2006/relationships/hyperlink" Target="https://adilet.zan.kz/rus/docs/V190001944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V2000021820" TargetMode="External"/><Relationship Id="rId12" Type="http://schemas.openxmlformats.org/officeDocument/2006/relationships/hyperlink" Target="https://adilet.zan.kz/rus/docs/V2200030890" TargetMode="External"/><Relationship Id="rId17" Type="http://schemas.openxmlformats.org/officeDocument/2006/relationships/hyperlink" Target="https://adilet.zan.kz/rus/docs/V17000162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4000101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20000218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200008283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V2000020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8747" TargetMode="External"/><Relationship Id="rId14" Type="http://schemas.openxmlformats.org/officeDocument/2006/relationships/hyperlink" Target="https://adilet.zan.kz/rus/docs/V1100006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2023-07-28T09:58:00Z</dcterms:created>
  <dcterms:modified xsi:type="dcterms:W3CDTF">2023-07-28T09:59:00Z</dcterms:modified>
</cp:coreProperties>
</file>