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59" w:rsidRDefault="00816259">
      <w:pPr>
        <w:spacing w:after="0"/>
      </w:pPr>
      <w:bookmarkStart w:id="0" w:name="_GoBack"/>
      <w:bookmarkEnd w:id="0"/>
    </w:p>
    <w:p w:rsidR="00816259" w:rsidRPr="007A7734" w:rsidRDefault="007A7734">
      <w:pPr>
        <w:spacing w:after="0"/>
        <w:rPr>
          <w:lang w:val="ru-RU"/>
        </w:rPr>
      </w:pPr>
      <w:r w:rsidRPr="007A7734">
        <w:rPr>
          <w:b/>
          <w:color w:val="000000"/>
          <w:sz w:val="28"/>
          <w:lang w:val="ru-RU"/>
        </w:rPr>
        <w:t>Об утверждении правил оказания сестринского ухода</w:t>
      </w:r>
    </w:p>
    <w:p w:rsidR="00816259" w:rsidRPr="007A7734" w:rsidRDefault="007A7734">
      <w:pPr>
        <w:spacing w:after="0"/>
        <w:jc w:val="both"/>
        <w:rPr>
          <w:lang w:val="ru-RU"/>
        </w:rPr>
      </w:pPr>
      <w:r w:rsidRPr="007A7734">
        <w:rPr>
          <w:color w:val="000000"/>
          <w:sz w:val="28"/>
          <w:lang w:val="ru-RU"/>
        </w:rPr>
        <w:t>Приказ Министра здравоохранения Республики Казахстан от 23 ноября 2020 года № Қ</w:t>
      </w:r>
      <w:proofErr w:type="gramStart"/>
      <w:r w:rsidRPr="007A7734">
        <w:rPr>
          <w:color w:val="000000"/>
          <w:sz w:val="28"/>
          <w:lang w:val="ru-RU"/>
        </w:rPr>
        <w:t>Р</w:t>
      </w:r>
      <w:proofErr w:type="gramEnd"/>
      <w:r w:rsidRPr="007A7734">
        <w:rPr>
          <w:color w:val="000000"/>
          <w:sz w:val="28"/>
          <w:lang w:val="ru-RU"/>
        </w:rPr>
        <w:t xml:space="preserve"> ДСМ-199/2020. Зарегистрирован в Министерстве юстиции Республики Казахстан 25 ноября 2020 года № 21674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" w:name="z4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В соответствии с пунктом 6 статьи 127 Кодекса Республики Казахстан от 7 июля 2020 года "О здоровье народа и системе здравоохранения" ПРИКАЗЫВАЮ: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" w:name="z5"/>
      <w:bookmarkEnd w:id="1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1. Утвердить правила оказания сестринского ухода согласно приложению к настоящему приказу.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2. Признать утратившими силу: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" w:name="z7"/>
      <w:bookmarkEnd w:id="3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27 марта 2015 года № 168 "Об утверждении Правил оказания паллиативной помощи и сестринского ухода" (зарегистрирован в Реестре государственной регистрации нормативных правовых актов под № 10803, опубликован 15 мая 2015 года в информационно-правовой системе "</w:t>
      </w:r>
      <w:proofErr w:type="spellStart"/>
      <w:r w:rsidRPr="007A7734">
        <w:rPr>
          <w:color w:val="000000"/>
          <w:sz w:val="28"/>
          <w:lang w:val="ru-RU"/>
        </w:rPr>
        <w:t>Әділет</w:t>
      </w:r>
      <w:proofErr w:type="spellEnd"/>
      <w:r w:rsidRPr="007A7734">
        <w:rPr>
          <w:color w:val="000000"/>
          <w:sz w:val="28"/>
          <w:lang w:val="ru-RU"/>
        </w:rPr>
        <w:t xml:space="preserve">"); 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" w:name="z8"/>
      <w:bookmarkEnd w:id="4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2) пункт 1 Перечня некоторых приказов Министерства здравоохранения и социального развития Республики Казахстан, в которые вносятся изменения и дополнения, утвержденного приказом Министра здравоохранения Республики Казахстан от 4 мая 2019 года № Қ</w:t>
      </w:r>
      <w:proofErr w:type="gramStart"/>
      <w:r w:rsidRPr="007A7734">
        <w:rPr>
          <w:color w:val="000000"/>
          <w:sz w:val="28"/>
          <w:lang w:val="ru-RU"/>
        </w:rPr>
        <w:t>Р</w:t>
      </w:r>
      <w:proofErr w:type="gramEnd"/>
      <w:r w:rsidRPr="007A7734">
        <w:rPr>
          <w:color w:val="000000"/>
          <w:sz w:val="28"/>
          <w:lang w:val="ru-RU"/>
        </w:rPr>
        <w:t xml:space="preserve">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</w:t>
      </w:r>
      <w:proofErr w:type="gramStart"/>
      <w:r w:rsidRPr="007A7734">
        <w:rPr>
          <w:color w:val="000000"/>
          <w:sz w:val="28"/>
          <w:lang w:val="ru-RU"/>
        </w:rPr>
        <w:t>2019 года в Эталонном контрольном банке нормативных правовых актов Республики Казахстан в электронном виде).</w:t>
      </w:r>
      <w:proofErr w:type="gramEnd"/>
    </w:p>
    <w:p w:rsidR="00816259" w:rsidRPr="007A7734" w:rsidRDefault="007A7734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3. Департаменту </w:t>
      </w:r>
      <w:proofErr w:type="gramStart"/>
      <w:r w:rsidRPr="007A7734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7A7734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7A7734">
        <w:rPr>
          <w:color w:val="000000"/>
          <w:sz w:val="28"/>
          <w:lang w:val="ru-RU"/>
        </w:rPr>
        <w:t>интернет-ресурсе</w:t>
      </w:r>
      <w:proofErr w:type="spellEnd"/>
      <w:r w:rsidRPr="007A7734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lastRenderedPageBreak/>
        <w:t>     </w:t>
      </w:r>
      <w:r w:rsidRPr="007A7734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7A7734">
        <w:rPr>
          <w:color w:val="000000"/>
          <w:sz w:val="28"/>
          <w:lang w:val="ru-RU"/>
        </w:rPr>
        <w:t>на</w:t>
      </w:r>
      <w:proofErr w:type="gramEnd"/>
      <w:r w:rsidRPr="007A7734">
        <w:rPr>
          <w:color w:val="000000"/>
          <w:sz w:val="28"/>
          <w:lang w:val="ru-RU"/>
        </w:rPr>
        <w:t xml:space="preserve"> </w:t>
      </w:r>
      <w:proofErr w:type="gramStart"/>
      <w:r w:rsidRPr="007A7734">
        <w:rPr>
          <w:color w:val="000000"/>
          <w:sz w:val="28"/>
          <w:lang w:val="ru-RU"/>
        </w:rPr>
        <w:t>курирующего</w:t>
      </w:r>
      <w:proofErr w:type="gramEnd"/>
      <w:r w:rsidRPr="007A7734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5"/>
        <w:gridCol w:w="3437"/>
        <w:gridCol w:w="289"/>
      </w:tblGrid>
      <w:tr w:rsidR="0081625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816259" w:rsidRDefault="007A773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A773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0"/>
              <w:jc w:val="center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>Приложение к приказу</w:t>
            </w:r>
            <w:r w:rsidRPr="007A7734">
              <w:rPr>
                <w:lang w:val="ru-RU"/>
              </w:rPr>
              <w:br/>
            </w:r>
            <w:r w:rsidRPr="007A7734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A7734">
              <w:rPr>
                <w:lang w:val="ru-RU"/>
              </w:rPr>
              <w:br/>
            </w:r>
            <w:r w:rsidRPr="007A773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A7734">
              <w:rPr>
                <w:lang w:val="ru-RU"/>
              </w:rPr>
              <w:br/>
            </w:r>
            <w:r w:rsidRPr="007A7734">
              <w:rPr>
                <w:color w:val="000000"/>
                <w:sz w:val="20"/>
                <w:lang w:val="ru-RU"/>
              </w:rPr>
              <w:t>от 23 ноября 2020 года</w:t>
            </w:r>
            <w:r w:rsidRPr="007A7734">
              <w:rPr>
                <w:lang w:val="ru-RU"/>
              </w:rPr>
              <w:br/>
            </w:r>
            <w:r w:rsidRPr="007A7734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7A773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A7734">
              <w:rPr>
                <w:color w:val="000000"/>
                <w:sz w:val="20"/>
                <w:lang w:val="ru-RU"/>
              </w:rPr>
              <w:t xml:space="preserve"> ДСМ-199/2020</w:t>
            </w:r>
          </w:p>
        </w:tc>
      </w:tr>
    </w:tbl>
    <w:p w:rsidR="00816259" w:rsidRPr="007A7734" w:rsidRDefault="007A7734">
      <w:pPr>
        <w:spacing w:after="0"/>
        <w:rPr>
          <w:lang w:val="ru-RU"/>
        </w:rPr>
      </w:pPr>
      <w:bookmarkStart w:id="12" w:name="z17"/>
      <w:r w:rsidRPr="007A7734">
        <w:rPr>
          <w:b/>
          <w:color w:val="000000"/>
          <w:lang w:val="ru-RU"/>
        </w:rPr>
        <w:t xml:space="preserve"> Правила оказания сестринского ухода</w:t>
      </w:r>
    </w:p>
    <w:p w:rsidR="00816259" w:rsidRPr="007A7734" w:rsidRDefault="007A7734">
      <w:pPr>
        <w:spacing w:after="0"/>
        <w:rPr>
          <w:lang w:val="ru-RU"/>
        </w:rPr>
      </w:pPr>
      <w:bookmarkStart w:id="13" w:name="z18"/>
      <w:bookmarkEnd w:id="12"/>
      <w:r w:rsidRPr="007A7734">
        <w:rPr>
          <w:b/>
          <w:color w:val="000000"/>
          <w:lang w:val="ru-RU"/>
        </w:rPr>
        <w:t xml:space="preserve"> Глава 1. Общие положения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4" w:name="z19"/>
      <w:bookmarkEnd w:id="13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1. Настоящие правила оказания сестринского ухода (далее – Правила) разработаны в соответствии с пунктом 6 статьи 127 Кодекса Республики Казахстан от 7 июля 2020 года "О здоровье народа и системе здравоохранения" (далее - Кодекс) и определяют порядок оказания сестринского ухода.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1) доврачебная медицинская помощь – медицинская помощь, оказываемая средними медицинскими работниками самостоятельно или в составе </w:t>
      </w:r>
      <w:proofErr w:type="spellStart"/>
      <w:r w:rsidRPr="007A7734">
        <w:rPr>
          <w:color w:val="000000"/>
          <w:sz w:val="28"/>
          <w:lang w:val="ru-RU"/>
        </w:rPr>
        <w:t>мультидисциплинарной</w:t>
      </w:r>
      <w:proofErr w:type="spellEnd"/>
      <w:r w:rsidRPr="007A7734">
        <w:rPr>
          <w:color w:val="000000"/>
          <w:sz w:val="28"/>
          <w:lang w:val="ru-RU"/>
        </w:rPr>
        <w:t xml:space="preserve">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2) организация здравоохранения – юридическое лицо, осуществляющее деятельность в области здравоохранения;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3) портал Бюро госпитализации (далее – Портал) – единая система электронной регистрации, учета, обработки и хранения направлений пациентов на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плановую госпитализацию в стационар в рамках гарантированного объема бесплатной медицинской помощи;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4) медицинская сестра расширенной практики – специалист с </w:t>
      </w:r>
      <w:proofErr w:type="spellStart"/>
      <w:r w:rsidRPr="007A7734">
        <w:rPr>
          <w:color w:val="000000"/>
          <w:sz w:val="28"/>
          <w:lang w:val="ru-RU"/>
        </w:rPr>
        <w:t>послесредним</w:t>
      </w:r>
      <w:proofErr w:type="spellEnd"/>
      <w:r w:rsidRPr="007A7734">
        <w:rPr>
          <w:color w:val="000000"/>
          <w:sz w:val="28"/>
          <w:lang w:val="ru-RU"/>
        </w:rPr>
        <w:t xml:space="preserve"> или высшим образованием в области сестринского дела, осуществляющий расширенные функции в рамках сестринского ухода;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5)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6)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lastRenderedPageBreak/>
        <w:t>     </w:t>
      </w:r>
      <w:r w:rsidRPr="007A7734">
        <w:rPr>
          <w:color w:val="000000"/>
          <w:sz w:val="28"/>
          <w:lang w:val="ru-RU"/>
        </w:rPr>
        <w:t xml:space="preserve"> 7) медицинская организация – организация здравоохранения, основной деятельностью которой является оказание медицинской помощи;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8) сестринская оценка – сбор информации о физиологическом, психологическом, социологическом и духовном состоянии пациента медицинской сестрой;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9) сестринский диагноз – часть сестринского ухода и клиническое суждение медицинской сестры, в котором описываются клинические симптомы заболевания пациента на фактически существующие и потенциальные проблемы, связанные с состоянием его здоровья;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10) сестринское вмешательство – действия медицинской сестры, предпринятые для улучшения здоровья и комфорта пациентов;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11) результат сестринского ухода – конечная оценка качества сестринского ухода;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12) сестринская документация – запись и (или) учет о сестринском уходе, предоставленный пациентам медицинскими сестрами или другими лицами, осуществляющими уход под руководством медицинской сестры расширенной практики;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13) сестринский уход – комплекс медицинских услуг, оказываемых медицинскими сестрами и медицинскими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людьми;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14) медицинская сестра –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</w:t>
      </w:r>
      <w:proofErr w:type="spellStart"/>
      <w:r w:rsidRPr="007A7734">
        <w:rPr>
          <w:color w:val="000000"/>
          <w:sz w:val="28"/>
          <w:lang w:val="ru-RU"/>
        </w:rPr>
        <w:t>супервизией</w:t>
      </w:r>
      <w:proofErr w:type="spellEnd"/>
      <w:r w:rsidRPr="007A7734">
        <w:rPr>
          <w:color w:val="000000"/>
          <w:sz w:val="28"/>
          <w:lang w:val="ru-RU"/>
        </w:rPr>
        <w:t xml:space="preserve"> медицинской сестры расширенной практики или врача;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15)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1" w:name="z36"/>
      <w:bookmarkEnd w:id="30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3. Сестринский уход в амбулаторных, </w:t>
      </w:r>
      <w:proofErr w:type="spellStart"/>
      <w:r w:rsidRPr="007A7734">
        <w:rPr>
          <w:color w:val="000000"/>
          <w:sz w:val="28"/>
          <w:lang w:val="ru-RU"/>
        </w:rPr>
        <w:t>стационарозамещающих</w:t>
      </w:r>
      <w:proofErr w:type="spellEnd"/>
      <w:r w:rsidRPr="007A7734">
        <w:rPr>
          <w:color w:val="000000"/>
          <w:sz w:val="28"/>
          <w:lang w:val="ru-RU"/>
        </w:rPr>
        <w:t xml:space="preserve">, стационарных условиях, а также на дому оказывается медицинскими организациями, имеющими лицензию на медицинскую деятельность на оказание амбулаторно-поликлинической и (или) </w:t>
      </w:r>
      <w:proofErr w:type="spellStart"/>
      <w:r w:rsidRPr="007A7734">
        <w:rPr>
          <w:color w:val="000000"/>
          <w:sz w:val="28"/>
          <w:lang w:val="ru-RU"/>
        </w:rPr>
        <w:t>стационарозамещающей</w:t>
      </w:r>
      <w:proofErr w:type="spellEnd"/>
      <w:r w:rsidRPr="007A7734">
        <w:rPr>
          <w:color w:val="000000"/>
          <w:sz w:val="28"/>
          <w:lang w:val="ru-RU"/>
        </w:rPr>
        <w:t xml:space="preserve"> помощи, стационарной помощи взрослому и (или) детскому населению в соответствии с Законом Республики Казахстан от 16 мая 2014 года "О разрешениях и уведомлениях" (далее – Закон).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2" w:name="z37"/>
      <w:bookmarkEnd w:id="31"/>
      <w:r w:rsidRPr="007A773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4. Сестринский уход пациенту предоставляется медицинскими работниками, имеющими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сертификат специалиста в области здравоохранения по специальности "Сестринское дело" в соответствии со статьей 27 Кодекса.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5. Сестринский уход оказывается в рамках гарантированного объема бесплатной медицинской помощи (далее – ГОБМП), по перечню согласно приложению к настоящим Правилам и в системе обязательного социального медицинского страхования, добровольного медицинского страхования, а также на платной основе.</w:t>
      </w:r>
    </w:p>
    <w:p w:rsidR="00816259" w:rsidRPr="007A7734" w:rsidRDefault="007A7734">
      <w:pPr>
        <w:spacing w:after="0"/>
        <w:rPr>
          <w:lang w:val="ru-RU"/>
        </w:rPr>
      </w:pPr>
      <w:bookmarkStart w:id="34" w:name="z39"/>
      <w:bookmarkEnd w:id="33"/>
      <w:r w:rsidRPr="007A7734">
        <w:rPr>
          <w:b/>
          <w:color w:val="000000"/>
          <w:lang w:val="ru-RU"/>
        </w:rPr>
        <w:t xml:space="preserve"> Глава 2. Порядок оказания сестринского ухода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6. Сестринский уход оказывается на районном, городском, областном уровнях, в городах республиканского значения и столице, с соблюдением принципов преемственности на всех этапах </w:t>
      </w:r>
      <w:proofErr w:type="spellStart"/>
      <w:r w:rsidRPr="007A7734">
        <w:rPr>
          <w:color w:val="000000"/>
          <w:sz w:val="28"/>
          <w:lang w:val="ru-RU"/>
        </w:rPr>
        <w:t>еҰ</w:t>
      </w:r>
      <w:proofErr w:type="spellEnd"/>
      <w:r w:rsidRPr="007A7734">
        <w:rPr>
          <w:color w:val="000000"/>
          <w:sz w:val="28"/>
          <w:lang w:val="ru-RU"/>
        </w:rPr>
        <w:t xml:space="preserve"> оказания и непрерывности наблюдения.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7. </w:t>
      </w:r>
      <w:proofErr w:type="gramStart"/>
      <w:r w:rsidRPr="007A7734">
        <w:rPr>
          <w:color w:val="000000"/>
          <w:sz w:val="28"/>
          <w:lang w:val="ru-RU"/>
        </w:rPr>
        <w:t>Сестринский уход оказывается: на приеме врача, в дневном или круглосуточном стационаре, при вызове медицинского работника, мобильной бригады, активном патронаже медицинскими работниками, организации лечения на дому и включает мероприятия, выполняемые в отношении пациента с целью обеспечения его своевременного питания, приема лекарств, полноценного сна и прочих наиболее важных для жизни и лечения функций, а также пропаганду здоровья, профилактику болезней.</w:t>
      </w:r>
      <w:proofErr w:type="gramEnd"/>
    </w:p>
    <w:p w:rsidR="00816259" w:rsidRPr="007A7734" w:rsidRDefault="007A7734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8. Сестринский уход осуществляется в случаях, не требующих круглосуточного врачебного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 (далее – БСУ)) в стационарных, </w:t>
      </w:r>
      <w:proofErr w:type="spellStart"/>
      <w:r w:rsidRPr="007A7734">
        <w:rPr>
          <w:color w:val="000000"/>
          <w:sz w:val="28"/>
          <w:lang w:val="ru-RU"/>
        </w:rPr>
        <w:t>стационарозамещающих</w:t>
      </w:r>
      <w:proofErr w:type="spellEnd"/>
      <w:r w:rsidRPr="007A7734">
        <w:rPr>
          <w:color w:val="000000"/>
          <w:sz w:val="28"/>
          <w:lang w:val="ru-RU"/>
        </w:rPr>
        <w:t xml:space="preserve"> условиях и на дому, в том числе с использованием мобильных бригад, согласно пункту 2 статьи 127.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9. Госпитализация пациента в медицинские организации, оказывающие сестринский уход, в рамках ГОБМП осуществляется в плановом порядке по направлению специалистов первичной медико-санитарной помощи (далее – ПМСП) или профильного специалиста медицинской организации через Портал с информированием пациента или его законного представителя о дате госпитализации в стационар.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39" w:name="z44"/>
      <w:bookmarkEnd w:id="38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10. Госпитализация пациента в медицинские организации, оказывающие сестринский уход, осуществляется в плановой и (или) экстренной форме оказания медицинской помощи. 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lastRenderedPageBreak/>
        <w:t>     </w:t>
      </w:r>
      <w:r w:rsidRPr="007A7734">
        <w:rPr>
          <w:color w:val="000000"/>
          <w:sz w:val="28"/>
          <w:lang w:val="ru-RU"/>
        </w:rPr>
        <w:t xml:space="preserve"> 11. Не подлежат госпитализации в БСУ в стационарных и </w:t>
      </w:r>
      <w:proofErr w:type="spellStart"/>
      <w:r w:rsidRPr="007A7734">
        <w:rPr>
          <w:color w:val="000000"/>
          <w:sz w:val="28"/>
          <w:lang w:val="ru-RU"/>
        </w:rPr>
        <w:t>стационарозамещающих</w:t>
      </w:r>
      <w:proofErr w:type="spellEnd"/>
      <w:r w:rsidRPr="007A7734">
        <w:rPr>
          <w:color w:val="000000"/>
          <w:sz w:val="28"/>
          <w:lang w:val="ru-RU"/>
        </w:rPr>
        <w:t xml:space="preserve"> условиях пациенты, требующие медицинской помощи и постоянного врачебного наблюдения.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12. Для госпитализации пациента в БСУ необходимо наличие: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1) показаний для госпитализации;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2) направления участкового врача, врача общей практики или профильного специалиста районной, городской поликлиники или специализированной медицинской организации.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13. При госпитализации осуществляется осмотр пациента медицинской сестрой БСУ в целях определения его состояния здоровья, сроков госпитализации и выявления противопоказаний для госпитализации в БСУ.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5" w:name="z50"/>
      <w:bookmarkEnd w:id="44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14. </w:t>
      </w:r>
      <w:proofErr w:type="gramStart"/>
      <w:r w:rsidRPr="007A7734">
        <w:rPr>
          <w:color w:val="000000"/>
          <w:sz w:val="28"/>
          <w:lang w:val="ru-RU"/>
        </w:rPr>
        <w:t>При лечении больного в БСУ, сведения о пациенте регистрируются в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Журнале учета приема больных и отказов в госпитализации и медицинской карте по форме, утвержденной согласно подпункту 31) статьи 7 Кодекса.</w:t>
      </w:r>
      <w:proofErr w:type="gramEnd"/>
    </w:p>
    <w:p w:rsidR="00816259" w:rsidRPr="007A7734" w:rsidRDefault="007A7734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15. </w:t>
      </w:r>
      <w:proofErr w:type="gramStart"/>
      <w:r w:rsidRPr="007A7734">
        <w:rPr>
          <w:color w:val="000000"/>
          <w:sz w:val="28"/>
          <w:lang w:val="ru-RU"/>
        </w:rPr>
        <w:t>При выписке пациента, получившего помощь в стационарных условиях в виде сестринского ухода, заполняется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статистическая карта по форме, утвержденной согласно подпункту 31) статьи 7 Кодекса.</w:t>
      </w:r>
      <w:proofErr w:type="gramEnd"/>
    </w:p>
    <w:p w:rsidR="00816259" w:rsidRPr="007A7734" w:rsidRDefault="007A7734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16.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Выписка из медицинской карты больного с необходимыми рекомендациями выдается пациенту или его законному представителю под роспись и передается в медицинскую организацию ПМСП по месту прикрепления.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17. Медицинская сестра своевременно регистрирует биологическую смерть пациента.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18. В период после смерти пациента медицинская сестра, осуществляющая сестринский уход, оказывает психологическую помощь семье, при необходимости назначается консультация психолога.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19. При оказании сестринского ухода средним медицинским персоналом БСУ осуществляется: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1) круглосуточное медицинское наблюдение за состоянием здоровья пациента и проведение мероприятий, направленных на профилактику осложнений;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2) медицинский уход за пациентами, включая проведение их ежедневного осмотра;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3) морально-психологическая поддержка пациентов;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4) кормление ослабленных пациентов;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lastRenderedPageBreak/>
        <w:t>     </w:t>
      </w:r>
      <w:r w:rsidRPr="007A7734">
        <w:rPr>
          <w:color w:val="000000"/>
          <w:sz w:val="28"/>
          <w:lang w:val="ru-RU"/>
        </w:rPr>
        <w:t xml:space="preserve"> 5) медицинские процедуры (измерение температуры тела, артериального давления, наложение компрессов, осуществление перевязок, обработка пролежней, выполнение очистительных клизм и другое);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6)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 xml:space="preserve"> первично-медико-санитарная помощь при ухудшении состояния здоровья пациентов;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7" w:name="z62"/>
      <w:bookmarkEnd w:id="56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7) комплекс симптоматической терапии по назначению лечащего врача; 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8) санитарно-гигиеническая помощь пациентам (обтирание, обмывание, гигиенические ванны, стрижка ногтей, причесывание, смена нательного и постельного белья и другое);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59" w:name="z64"/>
      <w:bookmarkEnd w:id="58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</w:t>
      </w:r>
      <w:proofErr w:type="gramStart"/>
      <w:r w:rsidRPr="007A7734">
        <w:rPr>
          <w:color w:val="000000"/>
          <w:sz w:val="28"/>
          <w:lang w:val="ru-RU"/>
        </w:rPr>
        <w:t>9) выполнение мероприятий по оказанию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медико-социальной помощи, назначенной медицинской сестрой БСУ, в том числе по содействию органам опеки и попечительства, устройству несовершеннолетних, нуждающихся в социальной реабилитации, на усыновление (удочерение), на попечение, в приемную семью в соответствии с</w:t>
      </w:r>
      <w:r>
        <w:rPr>
          <w:color w:val="000000"/>
          <w:sz w:val="28"/>
        </w:rPr>
        <w:t> </w:t>
      </w:r>
      <w:r w:rsidRPr="007A7734">
        <w:rPr>
          <w:color w:val="000000"/>
          <w:sz w:val="28"/>
          <w:lang w:val="ru-RU"/>
        </w:rPr>
        <w:t>подпунктом 2) статьи 8-1 Закона Республики Казахстан от 29 декабря 2008 года "О специальных социальных услугах".</w:t>
      </w:r>
      <w:proofErr w:type="gramEnd"/>
    </w:p>
    <w:p w:rsidR="00816259" w:rsidRPr="007A7734" w:rsidRDefault="007A7734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20. Сестринский уход в амбулаторных условиях осуществляется на дому в рабочие дни в период работы амбулаторно-поликлинических организаций.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21. Сестринский уход на дому оказывается пациентам, не нуждающемся в госпитализации, но состояние </w:t>
      </w:r>
      <w:proofErr w:type="gramStart"/>
      <w:r w:rsidRPr="007A7734">
        <w:rPr>
          <w:color w:val="000000"/>
          <w:sz w:val="28"/>
          <w:lang w:val="ru-RU"/>
        </w:rPr>
        <w:t>здоровья</w:t>
      </w:r>
      <w:proofErr w:type="gramEnd"/>
      <w:r w:rsidRPr="007A7734">
        <w:rPr>
          <w:color w:val="000000"/>
          <w:sz w:val="28"/>
          <w:lang w:val="ru-RU"/>
        </w:rPr>
        <w:t xml:space="preserve"> которых требует сестринского ухода.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22. Списки пациентов, нуждающихся в сестринском уходе, формируются организациями ПМСП, посредством медицинских информационных систем.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63" w:name="z68"/>
      <w:bookmarkEnd w:id="62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23. </w:t>
      </w:r>
      <w:proofErr w:type="gramStart"/>
      <w:r w:rsidRPr="007A7734">
        <w:rPr>
          <w:color w:val="000000"/>
          <w:sz w:val="28"/>
          <w:lang w:val="ru-RU"/>
        </w:rPr>
        <w:t>Медицинская сестра осуществляет: оценку состояния пациента, составление и выполнение плана сестринского ухода, выполнение назначений, составленных врачом, адаптацию и реализацию плана ухода в соответствии с выявленными проблемами, обучение пациентов, семьи, лиц, осуществляющих уход, ведение первичной медицинской документации, по формам, утвержденными согласно подпункту 31) статьи 7 Кодекса.</w:t>
      </w:r>
      <w:proofErr w:type="gramEnd"/>
    </w:p>
    <w:p w:rsidR="00816259" w:rsidRPr="007A7734" w:rsidRDefault="007A7734">
      <w:pPr>
        <w:spacing w:after="0"/>
        <w:jc w:val="both"/>
        <w:rPr>
          <w:lang w:val="ru-RU"/>
        </w:rPr>
      </w:pPr>
      <w:bookmarkStart w:id="64" w:name="z69"/>
      <w:bookmarkEnd w:id="63"/>
      <w:r w:rsidRPr="007A77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Медицинские сестры расширенной практики осуществляют независимый профессиональный сестринский уход, включающий сестринскую оценку состояния пациента, постановку сестринского диагноза,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 согласно пункту 5 статьи 127 Кодекса.</w:t>
      </w:r>
    </w:p>
    <w:p w:rsidR="00816259" w:rsidRPr="007A7734" w:rsidRDefault="007A7734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7A7734">
        <w:rPr>
          <w:color w:val="000000"/>
          <w:sz w:val="28"/>
          <w:lang w:val="ru-RU"/>
        </w:rPr>
        <w:t xml:space="preserve"> 24. </w:t>
      </w:r>
      <w:proofErr w:type="gramStart"/>
      <w:r w:rsidRPr="007A7734">
        <w:rPr>
          <w:color w:val="000000"/>
          <w:sz w:val="28"/>
          <w:lang w:val="ru-RU"/>
        </w:rPr>
        <w:t xml:space="preserve">При оказании сестринского ухода проведение противоболевой терапии по назначениям лечащего врача (при наличии показаний) и определение ее эффективности осуществляется в соответствии с клиническими протоколами и </w:t>
      </w:r>
      <w:r w:rsidRPr="007A7734">
        <w:rPr>
          <w:color w:val="000000"/>
          <w:sz w:val="28"/>
          <w:lang w:val="ru-RU"/>
        </w:rPr>
        <w:lastRenderedPageBreak/>
        <w:t>оценкой боли по форме, утвержденной согласно подпункту 31) статьи 7 Кодекса.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0"/>
        <w:gridCol w:w="3797"/>
      </w:tblGrid>
      <w:tr w:rsidR="00816259" w:rsidRPr="00FC328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816259" w:rsidRPr="007A7734" w:rsidRDefault="007A773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0"/>
              <w:jc w:val="center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7A7734">
              <w:rPr>
                <w:lang w:val="ru-RU"/>
              </w:rPr>
              <w:br/>
            </w:r>
            <w:r w:rsidRPr="007A7734">
              <w:rPr>
                <w:color w:val="000000"/>
                <w:sz w:val="20"/>
                <w:lang w:val="ru-RU"/>
              </w:rPr>
              <w:t>к Правилам оказания</w:t>
            </w:r>
            <w:r w:rsidRPr="007A7734">
              <w:rPr>
                <w:lang w:val="ru-RU"/>
              </w:rPr>
              <w:br/>
            </w:r>
            <w:r w:rsidRPr="007A7734">
              <w:rPr>
                <w:color w:val="000000"/>
                <w:sz w:val="20"/>
                <w:lang w:val="ru-RU"/>
              </w:rPr>
              <w:t>сестринского ухода</w:t>
            </w:r>
          </w:p>
        </w:tc>
      </w:tr>
    </w:tbl>
    <w:p w:rsidR="00816259" w:rsidRDefault="007A7734">
      <w:pPr>
        <w:spacing w:after="0"/>
      </w:pPr>
      <w:bookmarkStart w:id="66" w:name="z72"/>
      <w:r w:rsidRPr="007A7734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Перечень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услуг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сестринского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ухода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5"/>
        <w:gridCol w:w="4332"/>
        <w:gridCol w:w="4065"/>
      </w:tblGrid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>Услуги, оказываемые средним медицинским персоналом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>Обучение уходу за больным ребенком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>Уход за волосами, ногтями, бритье тяжелобольного пациента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>Уход за полостью рта тяжелобольного пациента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Отсасывание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ротоглотки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оростомах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эзофагостомах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трахеостоме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 xml:space="preserve">Уход за </w:t>
            </w:r>
            <w:proofErr w:type="spellStart"/>
            <w:r w:rsidRPr="007A7734">
              <w:rPr>
                <w:color w:val="000000"/>
                <w:sz w:val="20"/>
                <w:lang w:val="ru-RU"/>
              </w:rPr>
              <w:t>назогастральным</w:t>
            </w:r>
            <w:proofErr w:type="spellEnd"/>
            <w:r w:rsidRPr="007A7734">
              <w:rPr>
                <w:color w:val="000000"/>
                <w:sz w:val="20"/>
                <w:lang w:val="ru-RU"/>
              </w:rPr>
              <w:t xml:space="preserve"> зондом, носовыми канюлями и катетером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>Отсасывание слизи из верхних дыхательных путей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Отсасывание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носа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фарингостоме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интраназально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гастростомах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назогастральным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зондом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7A7734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7A7734">
              <w:rPr>
                <w:color w:val="000000"/>
                <w:sz w:val="20"/>
                <w:lang w:val="ru-RU"/>
              </w:rPr>
              <w:t xml:space="preserve">Кормление тяжелобольного пациента через </w:t>
            </w:r>
            <w:proofErr w:type="spellStart"/>
            <w:r w:rsidRPr="007A7734">
              <w:rPr>
                <w:color w:val="000000"/>
                <w:sz w:val="20"/>
                <w:lang w:val="ru-RU"/>
              </w:rPr>
              <w:t>гастростому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илеостоме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интестинальным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зондом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Кормление тяжелобольного пациента через интестинальный зонд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уходу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илеостомой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Пособие при стомах толстой кишки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уходу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колостомой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Пособие при дефекации тяжелобольного пациента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очистительной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клизмы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газоотводной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трубки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Удаление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копролита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недержании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кала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сифонной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клизмы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Введение, извлечение влагалищного поддерживающего кольца (пессария)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Уход за наружным слуховым проходом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Уход за глазами тяжелобольного пациента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Инстилляция лекарственных веществ в конъюнктивную полость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Пособие при мочеиспускании тяжелобольного пациента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мочевым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катетером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Уход за цистостомой и уростомой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недержании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мочи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Перемещение и (или) размещение тяжелобольного пациента в постели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Кормление тяжелобольного пациента через рот и (или) назогастральный зонд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Приготовление и смена постельного белья тяжелобольному пациенту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Пособие по смене белья и одежды тяжелобольному пациенту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Уход за промежностью и наружными половыми органами тяжелобольного пациента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дренажом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Пособие при парентеральном введении лекарственных препаратов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D93.891.063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Оценка степени риска развития пролежней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D93.891.064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тяжести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пролежней</w:t>
            </w:r>
            <w:proofErr w:type="spellEnd"/>
          </w:p>
        </w:tc>
      </w:tr>
      <w:tr w:rsidR="0081625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D93.891.065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интенсивности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боли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D93.891.066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Обучение членов семьи пациента технике перемещения и (или) размещения в постели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D93.891.067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Обучение пациента самопомощи при перемещении в постели и (или) кресле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D93.891.068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Обучение пациента перемещению на костылях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D93.891.069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Обучение пациента самопомощи при перемещении с помощью дополнительной опоры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Наложение повязки при нарушении целостности кожных покровов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психолога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А02.005.000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Консультативный прием: психолог (оценка психологического статуса, психотерапевтические, психологические интервенции, оказание психологической поддержки)</w:t>
            </w:r>
          </w:p>
        </w:tc>
      </w:tr>
      <w:tr w:rsidR="0081625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работника</w:t>
            </w:r>
            <w:proofErr w:type="spellEnd"/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A01.007.000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Консультация (прием) социальный работник со средним образованием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A01.007.001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Организация и проведение медико-</w:t>
            </w:r>
            <w:r w:rsidRPr="00FC3289">
              <w:rPr>
                <w:color w:val="000000"/>
                <w:sz w:val="20"/>
                <w:lang w:val="ru-RU"/>
              </w:rPr>
              <w:lastRenderedPageBreak/>
              <w:t>социального обследования: социальный работник со средним образованием</w:t>
            </w:r>
          </w:p>
        </w:tc>
      </w:tr>
      <w:tr w:rsidR="00816259" w:rsidRPr="00FC3289">
        <w:trPr>
          <w:trHeight w:val="30"/>
          <w:tblCellSpacing w:w="0" w:type="auto"/>
        </w:trPr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5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Default="007A77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A01.007.002</w:t>
            </w:r>
          </w:p>
        </w:tc>
        <w:tc>
          <w:tcPr>
            <w:tcW w:w="4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259" w:rsidRPr="00FC3289" w:rsidRDefault="007A7734">
            <w:pPr>
              <w:spacing w:after="20"/>
              <w:ind w:left="20"/>
              <w:jc w:val="both"/>
              <w:rPr>
                <w:lang w:val="ru-RU"/>
              </w:rPr>
            </w:pPr>
            <w:r w:rsidRPr="00FC3289">
              <w:rPr>
                <w:color w:val="000000"/>
                <w:sz w:val="20"/>
                <w:lang w:val="ru-RU"/>
              </w:rP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</w:tbl>
    <w:p w:rsidR="00816259" w:rsidRPr="00FC3289" w:rsidRDefault="007A7734">
      <w:pPr>
        <w:spacing w:after="0"/>
        <w:rPr>
          <w:lang w:val="ru-RU"/>
        </w:rPr>
      </w:pPr>
      <w:r w:rsidRPr="00FC3289">
        <w:rPr>
          <w:lang w:val="ru-RU"/>
        </w:rPr>
        <w:br/>
      </w:r>
    </w:p>
    <w:p w:rsidR="00816259" w:rsidRPr="00FC3289" w:rsidRDefault="007A7734">
      <w:pPr>
        <w:spacing w:after="0"/>
        <w:rPr>
          <w:lang w:val="ru-RU"/>
        </w:rPr>
      </w:pPr>
      <w:r w:rsidRPr="00FC3289">
        <w:rPr>
          <w:lang w:val="ru-RU"/>
        </w:rPr>
        <w:br/>
      </w:r>
      <w:r w:rsidRPr="00FC3289">
        <w:rPr>
          <w:lang w:val="ru-RU"/>
        </w:rPr>
        <w:br/>
      </w:r>
    </w:p>
    <w:p w:rsidR="00816259" w:rsidRPr="00FC3289" w:rsidRDefault="007A7734">
      <w:pPr>
        <w:pStyle w:val="disclaimer"/>
        <w:rPr>
          <w:lang w:val="ru-RU"/>
        </w:rPr>
      </w:pPr>
      <w:r w:rsidRPr="00FC328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16259" w:rsidRPr="00FC328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7A7734"/>
    <w:rsid w:val="00816259"/>
    <w:rsid w:val="00F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2023-03-06T07:59:00Z</dcterms:created>
  <dcterms:modified xsi:type="dcterms:W3CDTF">2023-03-06T07:59:00Z</dcterms:modified>
</cp:coreProperties>
</file>